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Wadowski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townhall.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Wadowski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townhall.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townhall.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Twenty-three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1979.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Aurora,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townhalls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Aurora,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Aurora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Backdraft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lieutenant,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fire!"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63.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orphanage.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orphans,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orphanage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battalion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Condoleezza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Iraqi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battalion.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tsunami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Miami-Dade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de-stigmatize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outskirts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iev.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Forty-five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Forty-five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commemorate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'77?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'77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'78,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jurisdictions.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non-partisan.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nonpartisan.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adversaries.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adversarial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intrusions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JCDC,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triathlons.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triathlons,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vicariously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triathlons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Ironmans.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jellyfish.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jellyfish.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jellyfish.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stubborn.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triathlons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triathlon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guitar.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Wadowski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Wadowski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Wadowski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jellyfish,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jellyfish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Wadowski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cybersecurity.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.gov/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secureourworld,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Einstein.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hygiene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hygiene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Woohoo.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Wadowski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Wadowski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eye-opening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Perlroth.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Mustafa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Microsoft.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Wadowski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espionage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pre-positioning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telecommunications,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 Wadowski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Afghanistan.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Afghanistan.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Baltimore,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24-hour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Easterly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Deanne 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FEMA.gov/podcast.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