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firefighters.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Westcott.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liquefaction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jeopardized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firefighters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firefighter,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scramble.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asphalt,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lethargic.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HVAC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premeditated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HVAC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rattlesnakes,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firefighters?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vasodilation,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canopy,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decimating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susceptible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submersible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well-resourced,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Quentin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Cummings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Cecylia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Deroche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Quentin,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Quentin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Cecylia,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Kappa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preliminary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GeoAI.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geospatial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geospatial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Cecylia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climate.gov.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asthma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Giguere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Adrienne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Bechelli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Jacqueline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Rothenberg,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refrigerator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area?".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issue?".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heterogeneous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distrustful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gnarly.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piecemealed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UASI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Jacqueline,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#SummerReady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opt-out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opt-in,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attuned,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volcanoes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hyperbole.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Jacqueline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inoculation.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anomalous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Jacqueline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Quiñones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Mathematica,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Esteban,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low-income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Speaker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